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89" w:rsidRDefault="00053869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70CD2">
        <w:rPr>
          <w:rFonts w:ascii="Arial" w:hAnsi="Arial" w:cs="Arial"/>
          <w:b/>
          <w:bCs/>
          <w:sz w:val="28"/>
          <w:szCs w:val="28"/>
        </w:rPr>
        <w:t>S</w:t>
      </w:r>
      <w:r w:rsidR="00E66A89" w:rsidRPr="00C70CD2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="00913697">
        <w:rPr>
          <w:rFonts w:ascii="Arial" w:hAnsi="Arial" w:cs="Arial"/>
          <w:b/>
          <w:bCs/>
          <w:sz w:val="28"/>
          <w:szCs w:val="28"/>
        </w:rPr>
        <w:t xml:space="preserve">individuální </w:t>
      </w:r>
      <w:r w:rsidR="003220FB" w:rsidRPr="00C70CD2">
        <w:rPr>
          <w:rFonts w:ascii="Arial" w:hAnsi="Arial" w:cs="Arial"/>
          <w:b/>
          <w:bCs/>
          <w:sz w:val="28"/>
          <w:szCs w:val="28"/>
        </w:rPr>
        <w:t>dotace</w:t>
      </w:r>
      <w:r w:rsidR="00913697">
        <w:rPr>
          <w:rFonts w:ascii="Arial" w:hAnsi="Arial" w:cs="Arial"/>
          <w:b/>
          <w:bCs/>
          <w:sz w:val="28"/>
          <w:szCs w:val="28"/>
        </w:rPr>
        <w:t>/ návratné finanční výpomoci</w:t>
      </w:r>
    </w:p>
    <w:p w:rsidR="003151FD" w:rsidRDefault="003151FD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64182" w:rsidRDefault="003151FD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č. </w:t>
      </w:r>
      <w:r w:rsidR="00A071B4">
        <w:rPr>
          <w:rFonts w:ascii="Arial" w:hAnsi="Arial" w:cs="Arial"/>
          <w:b/>
          <w:bCs/>
          <w:sz w:val="28"/>
          <w:szCs w:val="28"/>
        </w:rPr>
        <w:t>XX/2017</w:t>
      </w:r>
      <w:bookmarkStart w:id="0" w:name="_GoBack"/>
      <w:bookmarkEnd w:id="0"/>
    </w:p>
    <w:p w:rsidR="00913697" w:rsidRPr="00C70CD2" w:rsidRDefault="00913697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C70CD2" w:rsidRDefault="009B34D2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="00544DD4" w:rsidRPr="00C70CD2">
        <w:rPr>
          <w:rFonts w:ascii="Arial" w:hAnsi="Arial" w:cs="Arial"/>
          <w:sz w:val="22"/>
          <w:szCs w:val="22"/>
        </w:rPr>
        <w:t xml:space="preserve"> </w:t>
      </w:r>
      <w:r w:rsidR="000D67B3" w:rsidRPr="00C70CD2">
        <w:rPr>
          <w:rFonts w:ascii="Arial" w:hAnsi="Arial" w:cs="Arial"/>
          <w:i/>
          <w:sz w:val="22"/>
          <w:szCs w:val="22"/>
        </w:rPr>
        <w:t xml:space="preserve"> </w:t>
      </w:r>
    </w:p>
    <w:p w:rsidR="009B34D2" w:rsidRPr="005C68D4" w:rsidRDefault="009B34D2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0CEB" w:rsidRDefault="00AB74C1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OBEC LUDÍKOV</w:t>
      </w:r>
    </w:p>
    <w:p w:rsidR="00E4095A" w:rsidRPr="00C70CD2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</w:t>
      </w:r>
      <w:r w:rsidR="00AB74C1">
        <w:rPr>
          <w:rFonts w:ascii="Arial" w:hAnsi="Arial" w:cs="Arial"/>
          <w:b/>
          <w:sz w:val="22"/>
          <w:szCs w:val="22"/>
        </w:rPr>
        <w:t>:</w:t>
      </w:r>
      <w:r w:rsidR="00AB74C1">
        <w:rPr>
          <w:rFonts w:ascii="Arial" w:hAnsi="Arial" w:cs="Arial"/>
          <w:b/>
          <w:sz w:val="22"/>
          <w:szCs w:val="22"/>
        </w:rPr>
        <w:tab/>
      </w:r>
      <w:r w:rsidR="00AB74C1">
        <w:rPr>
          <w:rFonts w:ascii="Arial" w:hAnsi="Arial" w:cs="Arial"/>
          <w:b/>
          <w:sz w:val="22"/>
          <w:szCs w:val="22"/>
        </w:rPr>
        <w:tab/>
      </w:r>
      <w:r w:rsidR="00AB74C1">
        <w:rPr>
          <w:rFonts w:ascii="Arial" w:hAnsi="Arial" w:cs="Arial"/>
          <w:b/>
          <w:sz w:val="22"/>
          <w:szCs w:val="22"/>
        </w:rPr>
        <w:tab/>
        <w:t>Ludíkov č.p. 84, 680 01</w:t>
      </w:r>
    </w:p>
    <w:p w:rsidR="00913697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IČO: </w:t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  <w:r w:rsidR="00AB74C1">
        <w:rPr>
          <w:rFonts w:ascii="Arial" w:hAnsi="Arial" w:cs="Arial"/>
          <w:sz w:val="22"/>
          <w:szCs w:val="22"/>
        </w:rPr>
        <w:t>47884550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DIČ: </w:t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</w:r>
    </w:p>
    <w:p w:rsidR="00E4095A" w:rsidRPr="00C70CD2" w:rsidRDefault="00273C42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E4095A" w:rsidRPr="00C70CD2">
        <w:rPr>
          <w:rFonts w:ascii="Arial" w:hAnsi="Arial" w:cs="Arial"/>
          <w:sz w:val="22"/>
          <w:szCs w:val="22"/>
        </w:rPr>
        <w:t xml:space="preserve"> starostou </w:t>
      </w:r>
      <w:r w:rsidR="00AB74C1">
        <w:rPr>
          <w:rFonts w:ascii="Arial" w:hAnsi="Arial" w:cs="Arial"/>
          <w:sz w:val="22"/>
          <w:szCs w:val="22"/>
        </w:rPr>
        <w:t xml:space="preserve">obce </w:t>
      </w:r>
      <w:r w:rsidR="00AB74C1">
        <w:rPr>
          <w:rFonts w:ascii="Arial" w:hAnsi="Arial" w:cs="Arial"/>
          <w:sz w:val="22"/>
          <w:szCs w:val="22"/>
        </w:rPr>
        <w:tab/>
        <w:t>Ing. Františkem Veselým</w:t>
      </w:r>
    </w:p>
    <w:p w:rsidR="00E4095A" w:rsidRPr="00C70CD2" w:rsidRDefault="00E4095A" w:rsidP="00E4095A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Bankovní spojení:</w:t>
      </w:r>
      <w:r w:rsidR="00AB74C1">
        <w:rPr>
          <w:rFonts w:ascii="Arial" w:hAnsi="Arial" w:cs="Arial"/>
          <w:sz w:val="22"/>
          <w:szCs w:val="22"/>
        </w:rPr>
        <w:tab/>
      </w:r>
      <w:r w:rsidR="00AB74C1">
        <w:rPr>
          <w:rFonts w:ascii="Arial" w:hAnsi="Arial" w:cs="Arial"/>
          <w:sz w:val="22"/>
          <w:szCs w:val="22"/>
        </w:rPr>
        <w:tab/>
        <w:t>KB - 32320631</w:t>
      </w:r>
      <w:r w:rsidR="00913697">
        <w:rPr>
          <w:rFonts w:ascii="Arial" w:hAnsi="Arial" w:cs="Arial"/>
          <w:sz w:val="22"/>
          <w:szCs w:val="22"/>
        </w:rPr>
        <w:t>/0</w:t>
      </w:r>
      <w:r w:rsidR="00AB74C1">
        <w:rPr>
          <w:rFonts w:ascii="Arial" w:hAnsi="Arial" w:cs="Arial"/>
          <w:sz w:val="22"/>
          <w:szCs w:val="22"/>
        </w:rPr>
        <w:t>1</w:t>
      </w:r>
      <w:r w:rsidR="00913697">
        <w:rPr>
          <w:rFonts w:ascii="Arial" w:hAnsi="Arial" w:cs="Arial"/>
          <w:sz w:val="22"/>
          <w:szCs w:val="22"/>
        </w:rPr>
        <w:t>00</w:t>
      </w:r>
    </w:p>
    <w:p w:rsidR="00F80CEB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C70CD2" w:rsidRDefault="00F80CEB" w:rsidP="00E37E44">
      <w:pPr>
        <w:pStyle w:val="Styl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 </w:t>
      </w:r>
      <w:r w:rsidR="00E4095A" w:rsidRPr="00C70CD2">
        <w:rPr>
          <w:rFonts w:ascii="Arial" w:hAnsi="Arial" w:cs="Arial"/>
          <w:sz w:val="22"/>
          <w:szCs w:val="22"/>
        </w:rPr>
        <w:t>(dále jen jako „poskytovatel“)</w:t>
      </w:r>
    </w:p>
    <w:p w:rsidR="00E66A89" w:rsidRDefault="00842AB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80CEB" w:rsidRDefault="00913697" w:rsidP="00913697">
      <w:pPr>
        <w:pStyle w:val="Bezmezer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Příjemce:</w:t>
      </w:r>
      <w:r>
        <w:rPr>
          <w:rFonts w:ascii="Arial" w:hAnsi="Arial" w:cs="Arial"/>
          <w:b/>
          <w:sz w:val="22"/>
          <w:szCs w:val="22"/>
        </w:rPr>
        <w:tab/>
        <w:t>..............................</w:t>
      </w:r>
    </w:p>
    <w:p w:rsidR="00842AB9" w:rsidRPr="00842AB9" w:rsidRDefault="00F80CEB" w:rsidP="00842AB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</w:t>
      </w:r>
      <w:r w:rsidR="00913697">
        <w:rPr>
          <w:rFonts w:ascii="Arial" w:hAnsi="Arial" w:cs="Arial"/>
          <w:b/>
          <w:sz w:val="22"/>
          <w:szCs w:val="22"/>
        </w:rPr>
        <w:t>:</w:t>
      </w:r>
      <w:r w:rsidR="00913697">
        <w:rPr>
          <w:rFonts w:ascii="Arial" w:hAnsi="Arial" w:cs="Arial"/>
          <w:b/>
          <w:sz w:val="22"/>
          <w:szCs w:val="22"/>
        </w:rPr>
        <w:tab/>
      </w:r>
      <w:r w:rsidR="00913697">
        <w:rPr>
          <w:rFonts w:ascii="Arial" w:hAnsi="Arial" w:cs="Arial"/>
          <w:b/>
          <w:sz w:val="22"/>
          <w:szCs w:val="22"/>
        </w:rPr>
        <w:tab/>
      </w:r>
      <w:r w:rsidR="00913697">
        <w:rPr>
          <w:rFonts w:ascii="Arial" w:hAnsi="Arial" w:cs="Arial"/>
          <w:b/>
          <w:sz w:val="22"/>
          <w:szCs w:val="22"/>
        </w:rPr>
        <w:tab/>
        <w:t>..............................</w:t>
      </w:r>
    </w:p>
    <w:p w:rsidR="00842AB9" w:rsidRPr="00842AB9" w:rsidRDefault="00842AB9" w:rsidP="00842AB9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IČO</w:t>
      </w:r>
      <w:r w:rsidR="00913697">
        <w:rPr>
          <w:rFonts w:ascii="Arial" w:hAnsi="Arial" w:cs="Arial"/>
          <w:sz w:val="22"/>
          <w:szCs w:val="22"/>
        </w:rPr>
        <w:t xml:space="preserve"> (datum narození)</w:t>
      </w:r>
      <w:r w:rsidRPr="00842AB9">
        <w:rPr>
          <w:rFonts w:ascii="Arial" w:hAnsi="Arial" w:cs="Arial"/>
          <w:sz w:val="22"/>
          <w:szCs w:val="22"/>
        </w:rPr>
        <w:t xml:space="preserve">: </w:t>
      </w:r>
      <w:r w:rsidR="00913697">
        <w:rPr>
          <w:rFonts w:ascii="Arial" w:hAnsi="Arial" w:cs="Arial"/>
          <w:sz w:val="22"/>
          <w:szCs w:val="22"/>
        </w:rPr>
        <w:tab/>
        <w:t>..............................</w:t>
      </w:r>
    </w:p>
    <w:p w:rsidR="00842AB9" w:rsidRPr="00842AB9" w:rsidRDefault="00913697" w:rsidP="00842AB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</w:t>
      </w:r>
    </w:p>
    <w:p w:rsidR="00842AB9" w:rsidRPr="00842AB9" w:rsidRDefault="00842AB9" w:rsidP="00842AB9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Bankovní spojení</w:t>
      </w:r>
      <w:r w:rsidR="00913697">
        <w:rPr>
          <w:rFonts w:ascii="Arial" w:hAnsi="Arial" w:cs="Arial"/>
          <w:sz w:val="22"/>
          <w:szCs w:val="22"/>
        </w:rPr>
        <w:t xml:space="preserve">: </w:t>
      </w:r>
      <w:r w:rsidR="00913697">
        <w:rPr>
          <w:rFonts w:ascii="Arial" w:hAnsi="Arial" w:cs="Arial"/>
          <w:sz w:val="22"/>
          <w:szCs w:val="22"/>
        </w:rPr>
        <w:tab/>
      </w:r>
      <w:r w:rsidR="00913697">
        <w:rPr>
          <w:rFonts w:ascii="Arial" w:hAnsi="Arial" w:cs="Arial"/>
          <w:sz w:val="22"/>
          <w:szCs w:val="22"/>
        </w:rPr>
        <w:tab/>
        <w:t xml:space="preserve">.............................. </w:t>
      </w:r>
      <w:r w:rsidR="00913697" w:rsidRPr="00913697">
        <w:rPr>
          <w:rFonts w:ascii="Arial" w:hAnsi="Arial" w:cs="Arial"/>
          <w:sz w:val="18"/>
          <w:szCs w:val="18"/>
        </w:rPr>
        <w:t>(nepovinné, pokud příjemce nemá účet)</w:t>
      </w:r>
    </w:p>
    <w:p w:rsidR="00842AB9" w:rsidRPr="00842AB9" w:rsidRDefault="00842AB9" w:rsidP="00842A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2AB9" w:rsidRPr="00842AB9" w:rsidRDefault="00842AB9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(dále jen jako „příjemce“)</w:t>
      </w:r>
    </w:p>
    <w:p w:rsidR="00E37E44" w:rsidRDefault="00E37E4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RPr="005C68D4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E66A89" w:rsidRPr="00C70CD2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70CD2">
        <w:rPr>
          <w:rFonts w:ascii="Arial" w:hAnsi="Arial" w:cs="Arial"/>
          <w:b/>
          <w:bCs/>
        </w:rPr>
        <w:t>tuto</w:t>
      </w:r>
      <w:r w:rsidR="00717777" w:rsidRPr="00C70CD2">
        <w:rPr>
          <w:rFonts w:ascii="Arial" w:hAnsi="Arial" w:cs="Arial"/>
          <w:b/>
          <w:bCs/>
        </w:rPr>
        <w:t xml:space="preserve"> </w:t>
      </w:r>
      <w:r w:rsidRPr="00C70CD2">
        <w:rPr>
          <w:rFonts w:ascii="Arial" w:hAnsi="Arial" w:cs="Arial"/>
          <w:b/>
          <w:bCs/>
        </w:rPr>
        <w:t xml:space="preserve">smlouvu o poskytnutí </w:t>
      </w:r>
      <w:r w:rsidR="003220FB" w:rsidRPr="00C70CD2">
        <w:rPr>
          <w:rFonts w:ascii="Arial" w:hAnsi="Arial" w:cs="Arial"/>
          <w:b/>
          <w:bCs/>
        </w:rPr>
        <w:t>dotace</w:t>
      </w:r>
      <w:r w:rsidRPr="00C70CD2">
        <w:rPr>
          <w:rFonts w:ascii="Arial" w:hAnsi="Arial" w:cs="Arial"/>
          <w:b/>
          <w:bCs/>
        </w:rPr>
        <w:t>:</w:t>
      </w:r>
    </w:p>
    <w:p w:rsidR="00E66A89" w:rsidRPr="005C68D4" w:rsidRDefault="00E66A89" w:rsidP="00E66A89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E66A89" w:rsidRPr="00C70CD2" w:rsidRDefault="00E66A89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Poskytovatel se na základě této smlouvy zavazuje poskytnout příjemci </w:t>
      </w:r>
      <w:r w:rsidR="007B59A1" w:rsidRPr="00C70CD2">
        <w:rPr>
          <w:rFonts w:ascii="Arial" w:hAnsi="Arial" w:cs="Arial"/>
          <w:sz w:val="22"/>
          <w:szCs w:val="22"/>
        </w:rPr>
        <w:t>dotaci</w:t>
      </w:r>
      <w:r w:rsidRPr="00C70CD2">
        <w:rPr>
          <w:rFonts w:ascii="Arial" w:hAnsi="Arial" w:cs="Arial"/>
          <w:sz w:val="22"/>
          <w:szCs w:val="22"/>
        </w:rPr>
        <w:t xml:space="preserve"> ve výši ......... Kč, slovy: ......... korun</w:t>
      </w:r>
      <w:r w:rsidR="00E619FA" w:rsidRPr="00C70CD2">
        <w:rPr>
          <w:rFonts w:ascii="Arial" w:hAnsi="Arial" w:cs="Arial"/>
          <w:sz w:val="22"/>
          <w:szCs w:val="22"/>
        </w:rPr>
        <w:t xml:space="preserve"> českých (dále jen </w:t>
      </w:r>
      <w:r w:rsidR="00404207" w:rsidRPr="00C70CD2">
        <w:rPr>
          <w:rFonts w:ascii="Arial" w:hAnsi="Arial" w:cs="Arial"/>
          <w:sz w:val="22"/>
          <w:szCs w:val="22"/>
        </w:rPr>
        <w:t>„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="00404207" w:rsidRPr="00C70CD2">
        <w:rPr>
          <w:rFonts w:ascii="Arial" w:hAnsi="Arial" w:cs="Arial"/>
          <w:sz w:val="22"/>
          <w:szCs w:val="22"/>
        </w:rPr>
        <w:t>“</w:t>
      </w:r>
      <w:r w:rsidR="00E619FA" w:rsidRPr="00C70CD2">
        <w:rPr>
          <w:rFonts w:ascii="Arial" w:hAnsi="Arial" w:cs="Arial"/>
          <w:sz w:val="22"/>
          <w:szCs w:val="22"/>
        </w:rPr>
        <w:t>).</w:t>
      </w:r>
    </w:p>
    <w:p w:rsidR="005F587F" w:rsidRPr="00C70CD2" w:rsidRDefault="00A95783" w:rsidP="005F587F">
      <w:pPr>
        <w:numPr>
          <w:ilvl w:val="0"/>
          <w:numId w:val="1"/>
        </w:numPr>
        <w:spacing w:after="120"/>
        <w:jc w:val="both"/>
        <w:rPr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</w:t>
      </w:r>
      <w:r w:rsidR="00E66A89" w:rsidRPr="00C70CD2">
        <w:rPr>
          <w:rFonts w:ascii="Arial" w:hAnsi="Arial" w:cs="Arial"/>
          <w:sz w:val="22"/>
          <w:szCs w:val="22"/>
        </w:rPr>
        <w:t xml:space="preserve"> ......... </w:t>
      </w:r>
      <w:r w:rsidRPr="00A95783">
        <w:rPr>
          <w:rFonts w:ascii="Arial" w:hAnsi="Arial" w:cs="Arial"/>
          <w:i/>
          <w:sz w:val="18"/>
          <w:szCs w:val="18"/>
        </w:rPr>
        <w:t>(popis účelu dle žádosti)</w:t>
      </w:r>
    </w:p>
    <w:p w:rsidR="00FA1804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1804">
        <w:rPr>
          <w:rFonts w:ascii="Arial" w:hAnsi="Arial" w:cs="Arial"/>
          <w:sz w:val="22"/>
          <w:szCs w:val="22"/>
        </w:rPr>
        <w:t>Dotace</w:t>
      </w:r>
      <w:r w:rsidR="00E66A89" w:rsidRPr="00FA1804">
        <w:rPr>
          <w:rFonts w:ascii="Arial" w:hAnsi="Arial" w:cs="Arial"/>
          <w:sz w:val="22"/>
          <w:szCs w:val="22"/>
        </w:rPr>
        <w:t xml:space="preserve"> bude poskytnut</w:t>
      </w:r>
      <w:r w:rsidRPr="00FA1804">
        <w:rPr>
          <w:rFonts w:ascii="Arial" w:hAnsi="Arial" w:cs="Arial"/>
          <w:sz w:val="22"/>
          <w:szCs w:val="22"/>
        </w:rPr>
        <w:t>a</w:t>
      </w:r>
      <w:r w:rsidR="00E66A89" w:rsidRPr="00FA1804">
        <w:rPr>
          <w:rFonts w:ascii="Arial" w:hAnsi="Arial" w:cs="Arial"/>
          <w:sz w:val="22"/>
          <w:szCs w:val="22"/>
        </w:rPr>
        <w:t xml:space="preserve"> převodem na bankovní účet příjemce uvedený v záhlaví této smlouvy do 21 dnů ode dne uzavření této smlouvy</w:t>
      </w:r>
      <w:r w:rsidR="00842AB9" w:rsidRPr="00FA1804">
        <w:rPr>
          <w:rFonts w:ascii="Arial" w:hAnsi="Arial" w:cs="Arial"/>
          <w:sz w:val="22"/>
          <w:szCs w:val="22"/>
        </w:rPr>
        <w:t>.</w:t>
      </w:r>
      <w:r w:rsidR="00E66A89" w:rsidRPr="00FA1804">
        <w:rPr>
          <w:rFonts w:ascii="Arial" w:hAnsi="Arial" w:cs="Arial"/>
          <w:sz w:val="22"/>
          <w:szCs w:val="22"/>
        </w:rPr>
        <w:t xml:space="preserve"> </w:t>
      </w:r>
      <w:r w:rsidR="00FA1804" w:rsidRPr="00FA1804">
        <w:rPr>
          <w:rFonts w:ascii="Arial" w:hAnsi="Arial" w:cs="Arial"/>
          <w:sz w:val="22"/>
          <w:szCs w:val="22"/>
        </w:rPr>
        <w:t xml:space="preserve">Pokud příjemce nemá zřízen bankovní účet, bude mu dotace vyplacena v hotovosti do 21 dnů od podpisu této smlouvy. Místem výplaty je pokladna poskytovatele. </w:t>
      </w:r>
      <w:r w:rsidR="00E66A89" w:rsidRPr="00FA1804">
        <w:rPr>
          <w:rFonts w:ascii="Arial" w:hAnsi="Arial" w:cs="Arial"/>
          <w:sz w:val="22"/>
          <w:szCs w:val="22"/>
        </w:rPr>
        <w:t xml:space="preserve">Dnem poskytnutí </w:t>
      </w:r>
      <w:r w:rsidRPr="00FA1804">
        <w:rPr>
          <w:rFonts w:ascii="Arial" w:hAnsi="Arial" w:cs="Arial"/>
          <w:sz w:val="22"/>
          <w:szCs w:val="22"/>
        </w:rPr>
        <w:t>dotace</w:t>
      </w:r>
      <w:r w:rsidR="00E66A89" w:rsidRPr="00FA1804">
        <w:rPr>
          <w:rFonts w:ascii="Arial" w:hAnsi="Arial" w:cs="Arial"/>
          <w:sz w:val="22"/>
          <w:szCs w:val="22"/>
        </w:rPr>
        <w:t xml:space="preserve"> je den </w:t>
      </w:r>
      <w:r w:rsidR="005778BA" w:rsidRPr="00FA1804">
        <w:rPr>
          <w:rFonts w:ascii="Arial" w:hAnsi="Arial" w:cs="Arial"/>
          <w:sz w:val="22"/>
          <w:szCs w:val="22"/>
        </w:rPr>
        <w:t>př</w:t>
      </w:r>
      <w:r w:rsidR="00B04A33" w:rsidRPr="00FA1804">
        <w:rPr>
          <w:rFonts w:ascii="Arial" w:hAnsi="Arial" w:cs="Arial"/>
          <w:sz w:val="22"/>
          <w:szCs w:val="22"/>
        </w:rPr>
        <w:t>ipsání finančních prostředků na účet příjemce</w:t>
      </w:r>
      <w:r w:rsidR="00E66A89" w:rsidRPr="00FA1804">
        <w:rPr>
          <w:rFonts w:ascii="Arial" w:hAnsi="Arial" w:cs="Arial"/>
          <w:sz w:val="22"/>
          <w:szCs w:val="22"/>
        </w:rPr>
        <w:t>.</w:t>
      </w:r>
      <w:r w:rsidR="00A95783" w:rsidRPr="00FA1804">
        <w:rPr>
          <w:rFonts w:ascii="Arial" w:hAnsi="Arial" w:cs="Arial"/>
          <w:sz w:val="22"/>
          <w:szCs w:val="22"/>
        </w:rPr>
        <w:t xml:space="preserve"> </w:t>
      </w:r>
    </w:p>
    <w:p w:rsidR="00E66A89" w:rsidRPr="00FA1804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1804">
        <w:rPr>
          <w:rFonts w:ascii="Arial" w:hAnsi="Arial" w:cs="Arial"/>
          <w:sz w:val="22"/>
          <w:szCs w:val="22"/>
        </w:rPr>
        <w:t>Dotace</w:t>
      </w:r>
      <w:r w:rsidR="00E66A89" w:rsidRPr="00FA1804">
        <w:rPr>
          <w:rFonts w:ascii="Arial" w:hAnsi="Arial" w:cs="Arial"/>
          <w:sz w:val="22"/>
          <w:szCs w:val="22"/>
        </w:rPr>
        <w:t xml:space="preserve"> se poskytuje na účel stanovený v čl. I. odst. 2 této smlouvy jako </w:t>
      </w:r>
      <w:r w:rsidRPr="00FA1804">
        <w:rPr>
          <w:rFonts w:ascii="Arial" w:hAnsi="Arial" w:cs="Arial"/>
          <w:sz w:val="22"/>
          <w:szCs w:val="22"/>
        </w:rPr>
        <w:t>dotace</w:t>
      </w:r>
      <w:r w:rsidR="00E66A89" w:rsidRPr="00FA1804">
        <w:rPr>
          <w:rFonts w:ascii="Arial" w:hAnsi="Arial" w:cs="Arial"/>
          <w:sz w:val="22"/>
          <w:szCs w:val="22"/>
        </w:rPr>
        <w:t xml:space="preserve"> neinvestiční.</w:t>
      </w:r>
      <w:r w:rsidR="00842AB9" w:rsidRPr="00FA1804">
        <w:rPr>
          <w:rFonts w:ascii="Arial" w:hAnsi="Arial" w:cs="Arial"/>
          <w:sz w:val="22"/>
          <w:szCs w:val="22"/>
        </w:rPr>
        <w:t xml:space="preserve"> </w:t>
      </w:r>
      <w:r w:rsidR="00E66A89" w:rsidRPr="00FA1804">
        <w:rPr>
          <w:rFonts w:ascii="Arial" w:hAnsi="Arial" w:cs="Arial"/>
          <w:sz w:val="22"/>
          <w:szCs w:val="22"/>
        </w:rPr>
        <w:t xml:space="preserve">Pro účely této smlouvy se neinvestiční </w:t>
      </w:r>
      <w:r w:rsidRPr="00FA1804">
        <w:rPr>
          <w:rFonts w:ascii="Arial" w:hAnsi="Arial" w:cs="Arial"/>
          <w:sz w:val="22"/>
          <w:szCs w:val="22"/>
        </w:rPr>
        <w:t>dotací</w:t>
      </w:r>
      <w:r w:rsidR="00E66A89" w:rsidRPr="00FA1804">
        <w:rPr>
          <w:rFonts w:ascii="Arial" w:hAnsi="Arial" w:cs="Arial"/>
          <w:sz w:val="22"/>
          <w:szCs w:val="22"/>
        </w:rPr>
        <w:t xml:space="preserve"> rozumí </w:t>
      </w:r>
      <w:r w:rsidRPr="00FA1804">
        <w:rPr>
          <w:rFonts w:ascii="Arial" w:hAnsi="Arial" w:cs="Arial"/>
          <w:sz w:val="22"/>
          <w:szCs w:val="22"/>
        </w:rPr>
        <w:t>dotace</w:t>
      </w:r>
      <w:r w:rsidR="00E66A89" w:rsidRPr="00FA1804">
        <w:rPr>
          <w:rFonts w:ascii="Arial" w:hAnsi="Arial" w:cs="Arial"/>
          <w:sz w:val="22"/>
          <w:szCs w:val="22"/>
        </w:rPr>
        <w:t>, kter</w:t>
      </w:r>
      <w:r w:rsidRPr="00FA1804">
        <w:rPr>
          <w:rFonts w:ascii="Arial" w:hAnsi="Arial" w:cs="Arial"/>
          <w:sz w:val="22"/>
          <w:szCs w:val="22"/>
        </w:rPr>
        <w:t>á</w:t>
      </w:r>
      <w:r w:rsidR="00E66A89" w:rsidRPr="00FA1804">
        <w:rPr>
          <w:rFonts w:ascii="Arial" w:hAnsi="Arial" w:cs="Arial"/>
          <w:sz w:val="22"/>
          <w:szCs w:val="22"/>
        </w:rPr>
        <w:t xml:space="preserve"> musí být použ</w:t>
      </w:r>
      <w:r w:rsidR="00E619FA" w:rsidRPr="00FA1804">
        <w:rPr>
          <w:rFonts w:ascii="Arial" w:hAnsi="Arial" w:cs="Arial"/>
          <w:sz w:val="22"/>
          <w:szCs w:val="22"/>
        </w:rPr>
        <w:t>it</w:t>
      </w:r>
      <w:r w:rsidRPr="00FA1804">
        <w:rPr>
          <w:rFonts w:ascii="Arial" w:hAnsi="Arial" w:cs="Arial"/>
          <w:sz w:val="22"/>
          <w:szCs w:val="22"/>
        </w:rPr>
        <w:t>a</w:t>
      </w:r>
      <w:r w:rsidR="00E619FA" w:rsidRPr="00FA1804">
        <w:rPr>
          <w:rFonts w:ascii="Arial" w:hAnsi="Arial" w:cs="Arial"/>
          <w:sz w:val="22"/>
          <w:szCs w:val="22"/>
        </w:rPr>
        <w:t xml:space="preserve"> na úhradu jiných výdajů než: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výdajů spojených s pořízením hmotného majetku dle § 26 odst. 2 zákona č. 586/1992 Sb., o daních z příjmů, ve znění pozdějších předpisů (dále jen „cit. zákona“),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výdajů spojených s pořízením nehmotného majetku dle § 32a odst. 1 a 2 cit. zákona,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lastRenderedPageBreak/>
        <w:t>výdajů spojených s technickým zhodnocením, rekonstrukcí a modernizací ve smyslu § 33 cit. zákona.</w:t>
      </w:r>
    </w:p>
    <w:p w:rsidR="00E66A89" w:rsidRPr="005C68D4" w:rsidRDefault="00E66A89" w:rsidP="00E66A89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II.</w:t>
      </w:r>
    </w:p>
    <w:p w:rsidR="00842AB9" w:rsidRPr="00E37E44" w:rsidRDefault="00E66A89" w:rsidP="00B72A7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i/>
          <w:iCs/>
        </w:rPr>
      </w:pPr>
      <w:r w:rsidRPr="00842AB9">
        <w:rPr>
          <w:rFonts w:ascii="Arial" w:hAnsi="Arial" w:cs="Arial"/>
          <w:sz w:val="22"/>
          <w:szCs w:val="22"/>
        </w:rPr>
        <w:t xml:space="preserve">Příjemce </w:t>
      </w:r>
      <w:r w:rsidR="007B59A1" w:rsidRPr="00842AB9">
        <w:rPr>
          <w:rFonts w:ascii="Arial" w:hAnsi="Arial" w:cs="Arial"/>
          <w:sz w:val="22"/>
          <w:szCs w:val="22"/>
        </w:rPr>
        <w:t>dotaci</w:t>
      </w:r>
      <w:r w:rsidRPr="00842AB9">
        <w:rPr>
          <w:rFonts w:ascii="Arial" w:hAnsi="Arial" w:cs="Arial"/>
          <w:sz w:val="22"/>
          <w:szCs w:val="22"/>
        </w:rPr>
        <w:t xml:space="preserve"> přijímá a zavazuje se </w:t>
      </w:r>
      <w:r w:rsidR="007B59A1" w:rsidRPr="00842AB9">
        <w:rPr>
          <w:rFonts w:ascii="Arial" w:hAnsi="Arial" w:cs="Arial"/>
          <w:sz w:val="22"/>
          <w:szCs w:val="22"/>
        </w:rPr>
        <w:t>ji</w:t>
      </w:r>
      <w:r w:rsidRPr="00842AB9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7B59A1" w:rsidRPr="00842AB9">
        <w:rPr>
          <w:rFonts w:ascii="Arial" w:hAnsi="Arial" w:cs="Arial"/>
          <w:sz w:val="22"/>
          <w:szCs w:val="22"/>
        </w:rPr>
        <w:t>dotace</w:t>
      </w:r>
      <w:r w:rsidRPr="00842AB9">
        <w:rPr>
          <w:rFonts w:ascii="Arial" w:hAnsi="Arial" w:cs="Arial"/>
          <w:sz w:val="22"/>
          <w:szCs w:val="22"/>
        </w:rPr>
        <w:t xml:space="preserve"> dle čl. I. odst. 2 a 4 této smlouvy, v souladu s podmínkami stanovenými v této smlouvě a v souladu s </w:t>
      </w:r>
      <w:r w:rsidR="00842AB9" w:rsidRPr="00842AB9">
        <w:rPr>
          <w:rFonts w:ascii="Arial" w:hAnsi="Arial" w:cs="Arial"/>
          <w:sz w:val="22"/>
          <w:szCs w:val="22"/>
        </w:rPr>
        <w:t xml:space="preserve">„ Pravidly pro poskytování </w:t>
      </w:r>
      <w:r w:rsidR="00A95783">
        <w:rPr>
          <w:rFonts w:ascii="Arial" w:hAnsi="Arial" w:cs="Arial"/>
          <w:sz w:val="22"/>
          <w:szCs w:val="22"/>
        </w:rPr>
        <w:t>peněžních prostředků</w:t>
      </w:r>
      <w:r w:rsidR="00AB74C1">
        <w:rPr>
          <w:rFonts w:ascii="Arial" w:hAnsi="Arial" w:cs="Arial"/>
          <w:sz w:val="22"/>
          <w:szCs w:val="22"/>
        </w:rPr>
        <w:t xml:space="preserve"> z rozpočtu obce Ludíkov</w:t>
      </w:r>
      <w:r w:rsidR="00842AB9" w:rsidRPr="00842AB9">
        <w:rPr>
          <w:rFonts w:ascii="Arial" w:hAnsi="Arial" w:cs="Arial"/>
          <w:sz w:val="22"/>
          <w:szCs w:val="22"/>
        </w:rPr>
        <w:t xml:space="preserve"> schválenými Zastupitelstvem </w:t>
      </w:r>
      <w:r w:rsidR="00AB74C1">
        <w:rPr>
          <w:rFonts w:ascii="Arial" w:hAnsi="Arial" w:cs="Arial"/>
          <w:sz w:val="22"/>
          <w:szCs w:val="22"/>
        </w:rPr>
        <w:t>obce Ludíkov</w:t>
      </w:r>
      <w:r w:rsidR="00A95783">
        <w:rPr>
          <w:rFonts w:ascii="Arial" w:hAnsi="Arial" w:cs="Arial"/>
          <w:sz w:val="22"/>
          <w:szCs w:val="22"/>
        </w:rPr>
        <w:t xml:space="preserve"> </w:t>
      </w:r>
      <w:r w:rsidR="00842AB9" w:rsidRPr="00842AB9">
        <w:rPr>
          <w:rFonts w:ascii="Arial" w:hAnsi="Arial" w:cs="Arial"/>
          <w:sz w:val="22"/>
          <w:szCs w:val="22"/>
        </w:rPr>
        <w:t>usnesením č. ……..dne</w:t>
      </w:r>
      <w:r w:rsidR="00F80CEB">
        <w:rPr>
          <w:rFonts w:ascii="Arial" w:hAnsi="Arial" w:cs="Arial"/>
          <w:sz w:val="22"/>
          <w:szCs w:val="22"/>
        </w:rPr>
        <w:t>…….</w:t>
      </w:r>
      <w:r w:rsidR="00842AB9" w:rsidRPr="00842AB9">
        <w:rPr>
          <w:rFonts w:ascii="Arial" w:hAnsi="Arial" w:cs="Arial"/>
          <w:sz w:val="22"/>
          <w:szCs w:val="22"/>
        </w:rPr>
        <w:t>. Žadatel nesmí mít ke dni podání žádosti o dotaci neuh</w:t>
      </w:r>
      <w:r w:rsidR="00A95783">
        <w:rPr>
          <w:rFonts w:ascii="Arial" w:hAnsi="Arial" w:cs="Arial"/>
          <w:sz w:val="22"/>
          <w:szCs w:val="22"/>
        </w:rPr>
        <w:t>razeny splatné závazky vůči poskytovateli</w:t>
      </w:r>
      <w:r w:rsidR="00F80CEB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 Dotace musí být použita hospodárně. </w:t>
      </w:r>
    </w:p>
    <w:p w:rsidR="00E37E44" w:rsidRPr="00FE0B67" w:rsidRDefault="00E37E44" w:rsidP="00E37E44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E0B67">
        <w:rPr>
          <w:rFonts w:ascii="Arial" w:hAnsi="Arial" w:cs="Arial"/>
          <w:sz w:val="22"/>
          <w:szCs w:val="22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Pr="00FE0B6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 na základě daňového přiznání k DPH. Příjemce – neplátce DPH uvádí na veškerých vyúčtovacích dokladech finanční částky včetně DPH. </w:t>
      </w:r>
    </w:p>
    <w:p w:rsidR="006B4B62" w:rsidRP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Nevrátí-li příjemce </w:t>
      </w:r>
      <w:r w:rsidR="003151FD">
        <w:rPr>
          <w:rFonts w:ascii="Arial" w:hAnsi="Arial" w:cs="Arial"/>
          <w:sz w:val="22"/>
          <w:szCs w:val="22"/>
        </w:rPr>
        <w:t>výše uvedenou</w:t>
      </w:r>
      <w:r w:rsidRPr="00525D4B">
        <w:rPr>
          <w:rFonts w:ascii="Arial" w:hAnsi="Arial" w:cs="Arial"/>
          <w:sz w:val="22"/>
          <w:szCs w:val="22"/>
        </w:rPr>
        <w:t xml:space="preserve"> část dotace, dopustí se porušení rozpočtové kázně ve smyslu </w:t>
      </w:r>
      <w:proofErr w:type="spellStart"/>
      <w:r w:rsidRPr="00525D4B">
        <w:rPr>
          <w:rFonts w:ascii="Arial" w:hAnsi="Arial" w:cs="Arial"/>
          <w:sz w:val="22"/>
          <w:szCs w:val="22"/>
        </w:rPr>
        <w:t>ust</w:t>
      </w:r>
      <w:proofErr w:type="spellEnd"/>
      <w:r w:rsidRPr="00525D4B">
        <w:rPr>
          <w:rFonts w:ascii="Arial" w:hAnsi="Arial" w:cs="Arial"/>
          <w:sz w:val="22"/>
          <w:szCs w:val="22"/>
        </w:rPr>
        <w:t xml:space="preserve">. § 22 zákona č. 250/2000 Sb., o rozpočtových pravidlech územních rozpočtů, ve znění pozdějších předpisů. 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Příjemce nesmí dotaci použít zejména na nákup darů (s výjimkou cen v soutěžích), nákup alkoholických nápojů, na placení pokut, penále, úroků z úvěrů, ke krytí úvěrů, dále na placení leasingových splátek, náhrad</w:t>
      </w:r>
      <w:r w:rsidR="004545BB">
        <w:rPr>
          <w:rFonts w:ascii="Arial" w:hAnsi="Arial" w:cs="Arial"/>
          <w:sz w:val="22"/>
          <w:szCs w:val="22"/>
        </w:rPr>
        <w:t>y</w:t>
      </w:r>
      <w:r w:rsidRPr="006B4B62">
        <w:rPr>
          <w:rFonts w:ascii="Arial" w:hAnsi="Arial" w:cs="Arial"/>
          <w:sz w:val="22"/>
          <w:szCs w:val="22"/>
        </w:rPr>
        <w:t xml:space="preserve"> škod, mezd včetně odvodů, pojištění, úhrad</w:t>
      </w:r>
      <w:r w:rsidR="004545BB">
        <w:rPr>
          <w:rFonts w:ascii="Arial" w:hAnsi="Arial" w:cs="Arial"/>
          <w:sz w:val="22"/>
          <w:szCs w:val="22"/>
        </w:rPr>
        <w:t>y</w:t>
      </w:r>
      <w:r w:rsidRPr="006B4B62">
        <w:rPr>
          <w:rFonts w:ascii="Arial" w:hAnsi="Arial" w:cs="Arial"/>
          <w:sz w:val="22"/>
          <w:szCs w:val="22"/>
        </w:rPr>
        <w:t xml:space="preserve"> členských příspěvků a  odpisy  hmotného a nehmotného majetku. Dotaci nelze rovněž použít na úhradu ostatních daní.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:rsidR="0036418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Příjemce je povinen vést dot</w:t>
      </w:r>
      <w:r w:rsidR="00364182">
        <w:rPr>
          <w:rFonts w:ascii="Arial" w:hAnsi="Arial" w:cs="Arial"/>
          <w:sz w:val="22"/>
          <w:szCs w:val="22"/>
        </w:rPr>
        <w:t>aci ve svém účetnictví odděleně – originální účetní doklady, týkající se dotace budou označeny textem „</w:t>
      </w:r>
      <w:r w:rsidR="003151FD">
        <w:rPr>
          <w:rFonts w:ascii="Arial" w:hAnsi="Arial" w:cs="Arial"/>
          <w:sz w:val="22"/>
          <w:szCs w:val="22"/>
        </w:rPr>
        <w:t>H</w:t>
      </w:r>
      <w:r w:rsidR="00364182">
        <w:rPr>
          <w:rFonts w:ascii="Arial" w:hAnsi="Arial" w:cs="Arial"/>
          <w:sz w:val="22"/>
          <w:szCs w:val="22"/>
        </w:rPr>
        <w:t xml:space="preserve">razeno z rozpočtu </w:t>
      </w:r>
      <w:r w:rsidR="00B17B4F">
        <w:rPr>
          <w:rFonts w:ascii="Arial" w:hAnsi="Arial" w:cs="Arial"/>
          <w:sz w:val="22"/>
          <w:szCs w:val="22"/>
        </w:rPr>
        <w:t>obce Ludíkov</w:t>
      </w:r>
      <w:r w:rsidR="00364182">
        <w:rPr>
          <w:rFonts w:ascii="Arial" w:hAnsi="Arial" w:cs="Arial"/>
          <w:sz w:val="22"/>
          <w:szCs w:val="22"/>
        </w:rPr>
        <w:t>, smlouva č. ....</w:t>
      </w:r>
      <w:r w:rsidR="003151FD">
        <w:rPr>
          <w:rFonts w:ascii="Arial" w:hAnsi="Arial" w:cs="Arial"/>
          <w:sz w:val="22"/>
          <w:szCs w:val="22"/>
        </w:rPr>
        <w:t>“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je povinen použít poskytnutou dotaci nejpozději do </w:t>
      </w:r>
      <w:r w:rsidR="00B17B4F">
        <w:rPr>
          <w:rFonts w:ascii="Arial" w:hAnsi="Arial" w:cs="Arial"/>
          <w:sz w:val="22"/>
          <w:szCs w:val="22"/>
        </w:rPr>
        <w:t xml:space="preserve">31. 12. </w:t>
      </w:r>
      <w:r>
        <w:rPr>
          <w:rFonts w:ascii="Arial" w:hAnsi="Arial" w:cs="Arial"/>
          <w:sz w:val="22"/>
          <w:szCs w:val="22"/>
        </w:rPr>
        <w:t>………..</w:t>
      </w:r>
      <w:r w:rsidRPr="006B4B62">
        <w:rPr>
          <w:rFonts w:ascii="Arial" w:hAnsi="Arial" w:cs="Arial"/>
          <w:sz w:val="22"/>
          <w:szCs w:val="22"/>
        </w:rPr>
        <w:t xml:space="preserve"> </w:t>
      </w:r>
    </w:p>
    <w:p w:rsidR="004D46EC" w:rsidRPr="00C70CD2" w:rsidRDefault="004D46EC" w:rsidP="004D46E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Příjemce je povinen umožnit poskytovateli provedení kontroly dodržení účelu</w:t>
      </w:r>
      <w:r w:rsidR="004B3E31" w:rsidRPr="00C70CD2">
        <w:rPr>
          <w:rFonts w:ascii="Arial" w:hAnsi="Arial" w:cs="Arial"/>
          <w:sz w:val="22"/>
          <w:szCs w:val="22"/>
        </w:rPr>
        <w:t xml:space="preserve"> a podmínek použití poskytnuté dotace</w:t>
      </w:r>
      <w:r w:rsidRPr="00C70CD2">
        <w:rPr>
          <w:rFonts w:ascii="Arial" w:hAnsi="Arial" w:cs="Arial"/>
          <w:sz w:val="22"/>
          <w:szCs w:val="22"/>
        </w:rPr>
        <w:t xml:space="preserve">. Při této kontrole je příjemce povinen vyvíjet veškerou poskytovatelem požadovanou součinnost.  </w:t>
      </w:r>
    </w:p>
    <w:p w:rsid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 xml:space="preserve">Příjemce je povinen nejpozději do </w:t>
      </w:r>
      <w:r w:rsidR="00B17B4F">
        <w:rPr>
          <w:rFonts w:ascii="Arial" w:hAnsi="Arial" w:cs="Arial"/>
          <w:sz w:val="22"/>
          <w:szCs w:val="22"/>
        </w:rPr>
        <w:t xml:space="preserve">31. 1. </w:t>
      </w:r>
      <w:r w:rsidRPr="009C5199">
        <w:rPr>
          <w:rFonts w:ascii="Arial" w:hAnsi="Arial" w:cs="Arial"/>
          <w:sz w:val="22"/>
          <w:szCs w:val="22"/>
        </w:rPr>
        <w:t>......... předložit poskytovatel</w:t>
      </w:r>
      <w:r w:rsidR="004B3E31" w:rsidRPr="009C5199">
        <w:rPr>
          <w:rFonts w:ascii="Arial" w:hAnsi="Arial" w:cs="Arial"/>
          <w:sz w:val="22"/>
          <w:szCs w:val="22"/>
        </w:rPr>
        <w:t xml:space="preserve">i </w:t>
      </w:r>
      <w:r w:rsidR="003151FD">
        <w:rPr>
          <w:rFonts w:ascii="Arial" w:hAnsi="Arial" w:cs="Arial"/>
          <w:sz w:val="22"/>
          <w:szCs w:val="22"/>
        </w:rPr>
        <w:t>Závěrečné v</w:t>
      </w:r>
      <w:r w:rsidR="004B3E31" w:rsidRPr="009C5199">
        <w:rPr>
          <w:rFonts w:ascii="Arial" w:hAnsi="Arial" w:cs="Arial"/>
          <w:sz w:val="22"/>
          <w:szCs w:val="22"/>
        </w:rPr>
        <w:t>yúčtování</w:t>
      </w:r>
      <w:r w:rsidR="004545BB">
        <w:rPr>
          <w:rFonts w:ascii="Arial" w:hAnsi="Arial" w:cs="Arial"/>
          <w:sz w:val="22"/>
          <w:szCs w:val="22"/>
        </w:rPr>
        <w:t xml:space="preserve"> </w:t>
      </w:r>
      <w:r w:rsidR="004B3E31" w:rsidRPr="009C5199">
        <w:rPr>
          <w:rFonts w:ascii="Arial" w:hAnsi="Arial" w:cs="Arial"/>
          <w:sz w:val="22"/>
          <w:szCs w:val="22"/>
        </w:rPr>
        <w:t>poskytnuté</w:t>
      </w:r>
      <w:r w:rsidRPr="009C5199">
        <w:rPr>
          <w:rFonts w:ascii="Arial" w:hAnsi="Arial" w:cs="Arial"/>
          <w:sz w:val="22"/>
          <w:szCs w:val="22"/>
        </w:rPr>
        <w:t xml:space="preserve"> </w:t>
      </w:r>
      <w:r w:rsidR="004B3E31" w:rsidRPr="009C5199">
        <w:rPr>
          <w:rFonts w:ascii="Arial" w:hAnsi="Arial" w:cs="Arial"/>
          <w:sz w:val="22"/>
          <w:szCs w:val="22"/>
        </w:rPr>
        <w:t>dotace</w:t>
      </w:r>
      <w:r w:rsidRPr="009C5199">
        <w:rPr>
          <w:rFonts w:ascii="Arial" w:hAnsi="Arial" w:cs="Arial"/>
          <w:sz w:val="22"/>
          <w:szCs w:val="22"/>
        </w:rPr>
        <w:t xml:space="preserve"> (dále jen „vyúčtování“).</w:t>
      </w:r>
      <w:r w:rsidR="001B689F" w:rsidRPr="009C5199">
        <w:rPr>
          <w:rFonts w:ascii="Arial" w:hAnsi="Arial" w:cs="Arial"/>
          <w:sz w:val="22"/>
          <w:szCs w:val="22"/>
        </w:rPr>
        <w:t xml:space="preserve"> </w:t>
      </w:r>
    </w:p>
    <w:p w:rsidR="004D46EC" w:rsidRPr="009C5199" w:rsidRDefault="004545BB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Vyúčtování bude předloženo na Formuláři </w:t>
      </w:r>
      <w:r w:rsidR="003151F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ávěrečného vyúčtování poskytnuté dotace, který tvoří přílohu č. 4 Pravidel pro poskytování peněžních prostředků z rozpočtu </w:t>
      </w:r>
      <w:r w:rsidR="00B17B4F">
        <w:rPr>
          <w:rFonts w:ascii="Arial" w:hAnsi="Arial" w:cs="Arial"/>
          <w:sz w:val="22"/>
          <w:szCs w:val="22"/>
        </w:rPr>
        <w:t>obce Ludíkov</w:t>
      </w:r>
      <w:r>
        <w:rPr>
          <w:rFonts w:ascii="Arial" w:hAnsi="Arial" w:cs="Arial"/>
          <w:sz w:val="22"/>
          <w:szCs w:val="22"/>
        </w:rPr>
        <w:t xml:space="preserve"> (formulář je k dispozici v elektronické podobě na webových stránkách </w:t>
      </w:r>
      <w:r w:rsidR="00B17B4F">
        <w:rPr>
          <w:rFonts w:ascii="Arial" w:hAnsi="Arial" w:cs="Arial"/>
          <w:sz w:val="22"/>
          <w:szCs w:val="22"/>
        </w:rPr>
        <w:t>obce</w:t>
      </w:r>
      <w:r w:rsidR="003151FD">
        <w:rPr>
          <w:rFonts w:ascii="Arial" w:hAnsi="Arial" w:cs="Arial"/>
          <w:sz w:val="22"/>
          <w:szCs w:val="22"/>
        </w:rPr>
        <w:t xml:space="preserve"> .............</w:t>
      </w:r>
      <w:r>
        <w:rPr>
          <w:rFonts w:ascii="Arial" w:hAnsi="Arial" w:cs="Arial"/>
          <w:sz w:val="22"/>
          <w:szCs w:val="22"/>
        </w:rPr>
        <w:t>). Dále příjemce předloží: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faktur s podrobným rozpisem dodávky (případně dodacím listem), popřípadě jiných účetních dokladů včetně příloh, prokazujících vynaložení výdajů,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výdajových dokladů včetně příloh (stvrzenky, paragony apod.), na základě kterých je pokladní doklad vystaven</w:t>
      </w:r>
      <w:r w:rsidR="004117D5" w:rsidRPr="004117D5">
        <w:rPr>
          <w:rFonts w:ascii="Arial" w:hAnsi="Arial" w:cs="Arial"/>
          <w:sz w:val="22"/>
          <w:szCs w:val="22"/>
        </w:rPr>
        <w:t>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všech výpisů z bankovního účtu, které dokládají úhradu předložených faktur, s vyznačením dotčených plateb,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7201C2">
        <w:rPr>
          <w:rFonts w:ascii="Arial" w:hAnsi="Arial" w:cs="Arial"/>
          <w:sz w:val="22"/>
          <w:szCs w:val="22"/>
        </w:rPr>
        <w:t>…..</w:t>
      </w:r>
      <w:r w:rsidRPr="003217E3">
        <w:rPr>
          <w:rFonts w:ascii="Arial" w:hAnsi="Arial" w:cs="Arial"/>
          <w:sz w:val="22"/>
          <w:szCs w:val="22"/>
        </w:rPr>
        <w:t>Kč (slovy:</w:t>
      </w:r>
      <w:r w:rsidR="007201C2">
        <w:rPr>
          <w:rFonts w:ascii="Arial" w:hAnsi="Arial" w:cs="Arial"/>
          <w:sz w:val="22"/>
          <w:szCs w:val="22"/>
        </w:rPr>
        <w:t>……)</w:t>
      </w:r>
      <w:r w:rsidRPr="003217E3">
        <w:rPr>
          <w:rFonts w:ascii="Arial" w:hAnsi="Arial" w:cs="Arial"/>
          <w:sz w:val="22"/>
          <w:szCs w:val="22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>. § 22 zákona č. 250/2000 Sb., o rozpočtových pravidlech územních rozpočtů, ve znění pozdějších předpisů. Pokud příjemce předloží vyúčtování v termínu stanoveném v čl. II. odst. 4 této smlouvy, ale vyúčtování  nebude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17E3" w:rsidRPr="00F80CEB" w:rsidTr="00E5003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37E4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 xml:space="preserve">Nedodržení povinnosti </w:t>
            </w:r>
            <w:r w:rsidR="00E37E44">
              <w:rPr>
                <w:rFonts w:ascii="Arial" w:eastAsia="Calibri" w:hAnsi="Arial" w:cs="Arial"/>
                <w:sz w:val="22"/>
                <w:szCs w:val="22"/>
              </w:rPr>
              <w:t xml:space="preserve">uvádět na originálech účetních dokladů text dle čl. II, odst. </w:t>
            </w:r>
            <w:r w:rsidR="00EA793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4545BB" w:rsidP="004545B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Předložení vyúčtování </w:t>
            </w:r>
            <w:r w:rsidR="003217E3" w:rsidRPr="00F80CEB">
              <w:rPr>
                <w:rFonts w:ascii="Arial" w:eastAsia="Calibri" w:hAnsi="Arial" w:cs="Arial"/>
                <w:sz w:val="22"/>
                <w:szCs w:val="22"/>
              </w:rPr>
              <w:t>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FA1804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3217E3" w:rsidRPr="00F80CE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4545B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FA1804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3217E3" w:rsidRPr="00F80CEB">
              <w:rPr>
                <w:rFonts w:ascii="Arial" w:eastAsia="Calibri" w:hAnsi="Arial" w:cs="Arial"/>
                <w:sz w:val="22"/>
                <w:szCs w:val="22"/>
              </w:rPr>
              <w:t xml:space="preserve">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4545B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doplněného vyúčtování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B2146" w:rsidRPr="004B2146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A1804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A1804"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A1804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1804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lastRenderedPageBreak/>
        <w:t xml:space="preserve">V případě, že je příjemce dle této smlouvy povinen vrátit dotaci nebo její část nebo uhradit odvod nebo penále, vrátí příjemce dotaci nebo její část, resp. uhradí odvod nebo penále na účet poskytovatele </w:t>
      </w:r>
      <w:r w:rsidR="00FA1804">
        <w:rPr>
          <w:rFonts w:ascii="Arial" w:hAnsi="Arial" w:cs="Arial"/>
          <w:sz w:val="22"/>
          <w:szCs w:val="22"/>
        </w:rPr>
        <w:t>uvedený v záhlaví</w:t>
      </w:r>
      <w:r w:rsidR="004545BB">
        <w:rPr>
          <w:rFonts w:ascii="Arial" w:hAnsi="Arial" w:cs="Arial"/>
          <w:sz w:val="22"/>
          <w:szCs w:val="22"/>
        </w:rPr>
        <w:t>.</w:t>
      </w:r>
    </w:p>
    <w:p w:rsidR="003217E3" w:rsidRPr="004545BB" w:rsidRDefault="00FA1804" w:rsidP="003217E3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uvádět při kontaktu s médii, na svých webových stránkách a při propagaci svých aktivit, že poskytovatel finančně přispívá na činnost příjemce, způsob provedení oznámí poskytovateli.</w:t>
      </w:r>
    </w:p>
    <w:p w:rsidR="00E66A89" w:rsidRPr="005C68D4" w:rsidRDefault="00E66A89" w:rsidP="00E66A89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III.</w:t>
      </w:r>
    </w:p>
    <w:p w:rsidR="00E66A89" w:rsidRPr="006B4B62" w:rsidRDefault="005C68D4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Smlouva se uzavírá v souladu s §</w:t>
      </w:r>
      <w:r w:rsidR="002F0848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:rsidR="00E66A89" w:rsidRPr="00E16FFA" w:rsidRDefault="000C5690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</w:t>
      </w:r>
      <w:r w:rsidR="004B2146">
        <w:rPr>
          <w:rFonts w:ascii="Arial" w:hAnsi="Arial" w:cs="Arial"/>
          <w:sz w:val="22"/>
          <w:szCs w:val="22"/>
        </w:rPr>
        <w:t>m, ve znění pozdějších předpisů a zákonem č. 250/2000 Sb., o rozpočtových pravidlech územních rozpočtů, ve znění pozdějších předpisů.</w:t>
      </w:r>
    </w:p>
    <w:p w:rsidR="006B4B62" w:rsidRDefault="005C68D4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 xml:space="preserve">Poskytnutí </w:t>
      </w:r>
      <w:r w:rsidR="004B3E31" w:rsidRPr="00E16FFA">
        <w:rPr>
          <w:rFonts w:ascii="Arial" w:hAnsi="Arial" w:cs="Arial"/>
          <w:sz w:val="22"/>
          <w:szCs w:val="22"/>
        </w:rPr>
        <w:t>dotace</w:t>
      </w:r>
      <w:r w:rsidRPr="00E16FFA">
        <w:rPr>
          <w:rFonts w:ascii="Arial" w:hAnsi="Arial" w:cs="Arial"/>
          <w:sz w:val="22"/>
          <w:szCs w:val="22"/>
        </w:rPr>
        <w:t xml:space="preserve"> a uzavření této smlouvy bylo schváleno usnesením Zastupitelstva </w:t>
      </w:r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="00B17B4F">
        <w:rPr>
          <w:rFonts w:ascii="Arial" w:hAnsi="Arial" w:cs="Arial"/>
          <w:sz w:val="22"/>
          <w:szCs w:val="22"/>
        </w:rPr>
        <w:t>obce Ludíkov</w:t>
      </w:r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Pr="00E16FFA">
        <w:rPr>
          <w:rFonts w:ascii="Arial" w:hAnsi="Arial" w:cs="Arial"/>
          <w:sz w:val="22"/>
          <w:szCs w:val="22"/>
        </w:rPr>
        <w:t xml:space="preserve"> č ......... ze dne .........</w:t>
      </w:r>
    </w:p>
    <w:p w:rsidR="009E61E5" w:rsidRPr="006B4B62" w:rsidRDefault="00E66A89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Tato smlouva je sepsána ve </w:t>
      </w:r>
      <w:r w:rsidR="0067443C" w:rsidRPr="006B4B62">
        <w:rPr>
          <w:rFonts w:ascii="Arial" w:hAnsi="Arial" w:cs="Arial"/>
          <w:sz w:val="22"/>
          <w:szCs w:val="22"/>
        </w:rPr>
        <w:t>třech</w:t>
      </w:r>
      <w:r w:rsidR="009E61E5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 xml:space="preserve">vyhotoveních, z nichž </w:t>
      </w:r>
      <w:r w:rsidR="009E61E5" w:rsidRPr="006B4B62">
        <w:rPr>
          <w:rFonts w:ascii="Arial" w:hAnsi="Arial" w:cs="Arial"/>
          <w:sz w:val="22"/>
          <w:szCs w:val="22"/>
        </w:rPr>
        <w:t>dvě obdrží poskytovatel a jedno v</w:t>
      </w:r>
      <w:r w:rsidR="006B4B62">
        <w:rPr>
          <w:rFonts w:ascii="Arial" w:hAnsi="Arial" w:cs="Arial"/>
          <w:sz w:val="22"/>
          <w:szCs w:val="22"/>
        </w:rPr>
        <w:t>yhotovení příjemce.</w:t>
      </w:r>
    </w:p>
    <w:p w:rsidR="005B4136" w:rsidRPr="009E61E5" w:rsidRDefault="005B4136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9E61E5">
        <w:rPr>
          <w:rFonts w:ascii="Arial" w:hAnsi="Arial" w:cs="Arial"/>
          <w:sz w:val="22"/>
          <w:szCs w:val="22"/>
        </w:rPr>
        <w:t>V</w:t>
      </w:r>
      <w:r w:rsidR="00B17B4F">
        <w:rPr>
          <w:rFonts w:ascii="Arial" w:hAnsi="Arial" w:cs="Arial"/>
          <w:sz w:val="22"/>
          <w:szCs w:val="22"/>
        </w:rPr>
        <w:t> Ludíkově</w:t>
      </w:r>
      <w:r w:rsidR="00B17B4F">
        <w:rPr>
          <w:rFonts w:ascii="Arial" w:hAnsi="Arial" w:cs="Arial"/>
          <w:sz w:val="22"/>
          <w:szCs w:val="22"/>
        </w:rPr>
        <w:tab/>
      </w:r>
      <w:r w:rsidRPr="009E61E5">
        <w:rPr>
          <w:rFonts w:ascii="Arial" w:hAnsi="Arial" w:cs="Arial"/>
          <w:sz w:val="22"/>
          <w:szCs w:val="22"/>
        </w:rPr>
        <w:t>dne .......................</w:t>
      </w:r>
      <w:r w:rsidRPr="009E61E5">
        <w:rPr>
          <w:rFonts w:ascii="Arial" w:hAnsi="Arial" w:cs="Arial"/>
          <w:sz w:val="22"/>
          <w:szCs w:val="22"/>
        </w:rPr>
        <w:tab/>
      </w:r>
      <w:r w:rsidRPr="009E61E5">
        <w:rPr>
          <w:rFonts w:ascii="Arial" w:hAnsi="Arial" w:cs="Arial"/>
          <w:sz w:val="22"/>
          <w:szCs w:val="22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oskytovatel</w:t>
            </w:r>
            <w:r w:rsidRPr="009E61E5">
              <w:rPr>
                <w:rFonts w:ascii="Arial" w:hAnsi="Arial" w:cs="Arial"/>
                <w:sz w:val="22"/>
                <w:szCs w:val="22"/>
              </w:rPr>
              <w:t>e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2F08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říjemce:</w:t>
            </w:r>
          </w:p>
        </w:tc>
      </w:tr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E66A89" w:rsidRPr="009E61E5" w:rsidRDefault="00F622CF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 xml:space="preserve"> starosta</w:t>
            </w:r>
          </w:p>
          <w:p w:rsidR="00E66A89" w:rsidRPr="009E61E5" w:rsidRDefault="00E66A89" w:rsidP="00E66A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</w:tr>
    </w:tbl>
    <w:p w:rsidR="00CA4017" w:rsidRPr="00673D63" w:rsidRDefault="00CA4017" w:rsidP="00CA4017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sectPr w:rsidR="00CA4017" w:rsidRPr="00673D63" w:rsidSect="00D56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58" w:rsidRDefault="00317658" w:rsidP="0045745B">
      <w:r>
        <w:separator/>
      </w:r>
    </w:p>
  </w:endnote>
  <w:endnote w:type="continuationSeparator" w:id="0">
    <w:p w:rsidR="00317658" w:rsidRDefault="00317658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3D" w:rsidRPr="0020153D" w:rsidRDefault="0020153D">
    <w:pPr>
      <w:pStyle w:val="Zpat"/>
      <w:rPr>
        <w:i/>
      </w:rPr>
    </w:pPr>
    <w:r>
      <w:rPr>
        <w:i/>
      </w:rPr>
      <w:t>Smlouva o poskytnutí individuální dotace/návratné finanční výpomoci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58" w:rsidRDefault="00317658" w:rsidP="0045745B">
      <w:r>
        <w:separator/>
      </w:r>
    </w:p>
  </w:footnote>
  <w:footnote w:type="continuationSeparator" w:id="0">
    <w:p w:rsidR="00317658" w:rsidRDefault="00317658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5B" w:rsidRPr="0020153D" w:rsidRDefault="0020153D" w:rsidP="0020153D">
    <w:pPr>
      <w:pStyle w:val="Zhlav"/>
      <w:jc w:val="both"/>
    </w:pPr>
    <w:r>
      <w:tab/>
      <w:t>(VZOR)</w:t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D"/>
    <w:rsid w:val="00010A84"/>
    <w:rsid w:val="000224DB"/>
    <w:rsid w:val="00043388"/>
    <w:rsid w:val="00053869"/>
    <w:rsid w:val="0007732B"/>
    <w:rsid w:val="0009674D"/>
    <w:rsid w:val="00097BC7"/>
    <w:rsid w:val="000C1995"/>
    <w:rsid w:val="000C5690"/>
    <w:rsid w:val="000D67B3"/>
    <w:rsid w:val="000D6DBE"/>
    <w:rsid w:val="000E7B5A"/>
    <w:rsid w:val="000F54C2"/>
    <w:rsid w:val="00114E20"/>
    <w:rsid w:val="001324FF"/>
    <w:rsid w:val="001372A4"/>
    <w:rsid w:val="0014724B"/>
    <w:rsid w:val="00161216"/>
    <w:rsid w:val="0017000F"/>
    <w:rsid w:val="00171168"/>
    <w:rsid w:val="00182E06"/>
    <w:rsid w:val="00190AB6"/>
    <w:rsid w:val="001A2126"/>
    <w:rsid w:val="001B0295"/>
    <w:rsid w:val="001B0FD4"/>
    <w:rsid w:val="001B689F"/>
    <w:rsid w:val="001D3B56"/>
    <w:rsid w:val="001D47A2"/>
    <w:rsid w:val="001F0FBD"/>
    <w:rsid w:val="001F5E3A"/>
    <w:rsid w:val="0020153D"/>
    <w:rsid w:val="002055DD"/>
    <w:rsid w:val="00217BB6"/>
    <w:rsid w:val="00220C6E"/>
    <w:rsid w:val="002441E3"/>
    <w:rsid w:val="00250B5C"/>
    <w:rsid w:val="00273C42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A0A"/>
    <w:rsid w:val="003151FD"/>
    <w:rsid w:val="00316AFA"/>
    <w:rsid w:val="00316E1A"/>
    <w:rsid w:val="00317658"/>
    <w:rsid w:val="003217E3"/>
    <w:rsid w:val="003220FB"/>
    <w:rsid w:val="00324E6E"/>
    <w:rsid w:val="00337EFC"/>
    <w:rsid w:val="00364182"/>
    <w:rsid w:val="00371230"/>
    <w:rsid w:val="00384E85"/>
    <w:rsid w:val="00392A2A"/>
    <w:rsid w:val="003C4023"/>
    <w:rsid w:val="003C40FF"/>
    <w:rsid w:val="003D0FAF"/>
    <w:rsid w:val="00401C8F"/>
    <w:rsid w:val="00402DDC"/>
    <w:rsid w:val="00404207"/>
    <w:rsid w:val="004117D5"/>
    <w:rsid w:val="00414089"/>
    <w:rsid w:val="0042113F"/>
    <w:rsid w:val="004313FD"/>
    <w:rsid w:val="004379A9"/>
    <w:rsid w:val="004545BB"/>
    <w:rsid w:val="004568D1"/>
    <w:rsid w:val="0045745B"/>
    <w:rsid w:val="0047056C"/>
    <w:rsid w:val="00475A62"/>
    <w:rsid w:val="004818B2"/>
    <w:rsid w:val="00484540"/>
    <w:rsid w:val="00487D6F"/>
    <w:rsid w:val="00494C82"/>
    <w:rsid w:val="004A4E9D"/>
    <w:rsid w:val="004B2146"/>
    <w:rsid w:val="004B284A"/>
    <w:rsid w:val="004B3E31"/>
    <w:rsid w:val="004B6517"/>
    <w:rsid w:val="004C3989"/>
    <w:rsid w:val="004D46EC"/>
    <w:rsid w:val="004F5AF6"/>
    <w:rsid w:val="005119E0"/>
    <w:rsid w:val="00515671"/>
    <w:rsid w:val="00520161"/>
    <w:rsid w:val="00521EA3"/>
    <w:rsid w:val="005240F0"/>
    <w:rsid w:val="00525D4B"/>
    <w:rsid w:val="0054326E"/>
    <w:rsid w:val="00544DD4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4DC6"/>
    <w:rsid w:val="00612A26"/>
    <w:rsid w:val="00632AFC"/>
    <w:rsid w:val="006401ED"/>
    <w:rsid w:val="00650411"/>
    <w:rsid w:val="00655931"/>
    <w:rsid w:val="0067443C"/>
    <w:rsid w:val="006A639C"/>
    <w:rsid w:val="006B3960"/>
    <w:rsid w:val="006B4B62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40686"/>
    <w:rsid w:val="007414DC"/>
    <w:rsid w:val="007477B4"/>
    <w:rsid w:val="00762EC8"/>
    <w:rsid w:val="00765FAE"/>
    <w:rsid w:val="007813C1"/>
    <w:rsid w:val="00793F41"/>
    <w:rsid w:val="007A2212"/>
    <w:rsid w:val="007A6AF5"/>
    <w:rsid w:val="007A6CD3"/>
    <w:rsid w:val="007B3C92"/>
    <w:rsid w:val="007B59A1"/>
    <w:rsid w:val="007C0511"/>
    <w:rsid w:val="007F1373"/>
    <w:rsid w:val="007F1E03"/>
    <w:rsid w:val="00801C6C"/>
    <w:rsid w:val="00805567"/>
    <w:rsid w:val="00842AB9"/>
    <w:rsid w:val="00864DB7"/>
    <w:rsid w:val="00877339"/>
    <w:rsid w:val="00890D26"/>
    <w:rsid w:val="00893D01"/>
    <w:rsid w:val="008975ED"/>
    <w:rsid w:val="008A4D58"/>
    <w:rsid w:val="008C2759"/>
    <w:rsid w:val="009018F6"/>
    <w:rsid w:val="00913697"/>
    <w:rsid w:val="00921CF4"/>
    <w:rsid w:val="00922E07"/>
    <w:rsid w:val="009249C6"/>
    <w:rsid w:val="00927270"/>
    <w:rsid w:val="00927398"/>
    <w:rsid w:val="0096728F"/>
    <w:rsid w:val="009746AA"/>
    <w:rsid w:val="009A3A9F"/>
    <w:rsid w:val="009A7543"/>
    <w:rsid w:val="009B34D2"/>
    <w:rsid w:val="009C5199"/>
    <w:rsid w:val="009C7A0A"/>
    <w:rsid w:val="009D30BB"/>
    <w:rsid w:val="009D3760"/>
    <w:rsid w:val="009D5488"/>
    <w:rsid w:val="009E4278"/>
    <w:rsid w:val="009E5818"/>
    <w:rsid w:val="009E61E5"/>
    <w:rsid w:val="00A026A9"/>
    <w:rsid w:val="00A05167"/>
    <w:rsid w:val="00A071B4"/>
    <w:rsid w:val="00A246B6"/>
    <w:rsid w:val="00A90469"/>
    <w:rsid w:val="00A93782"/>
    <w:rsid w:val="00A95783"/>
    <w:rsid w:val="00AA21F4"/>
    <w:rsid w:val="00AB74C1"/>
    <w:rsid w:val="00AC752C"/>
    <w:rsid w:val="00B04A33"/>
    <w:rsid w:val="00B17B4F"/>
    <w:rsid w:val="00B21C96"/>
    <w:rsid w:val="00B24339"/>
    <w:rsid w:val="00B403F7"/>
    <w:rsid w:val="00B41634"/>
    <w:rsid w:val="00B441DD"/>
    <w:rsid w:val="00B50616"/>
    <w:rsid w:val="00B5065F"/>
    <w:rsid w:val="00B56E34"/>
    <w:rsid w:val="00B62356"/>
    <w:rsid w:val="00B713EB"/>
    <w:rsid w:val="00B72A72"/>
    <w:rsid w:val="00B9536E"/>
    <w:rsid w:val="00BB255B"/>
    <w:rsid w:val="00BC0734"/>
    <w:rsid w:val="00BC1251"/>
    <w:rsid w:val="00BC5837"/>
    <w:rsid w:val="00BD0D0D"/>
    <w:rsid w:val="00BE04DC"/>
    <w:rsid w:val="00BE6EDA"/>
    <w:rsid w:val="00BE7C2D"/>
    <w:rsid w:val="00BF4FCE"/>
    <w:rsid w:val="00C0425D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E7AA1"/>
    <w:rsid w:val="00D03086"/>
    <w:rsid w:val="00D06D0A"/>
    <w:rsid w:val="00D26551"/>
    <w:rsid w:val="00D37B52"/>
    <w:rsid w:val="00D42AE2"/>
    <w:rsid w:val="00D46998"/>
    <w:rsid w:val="00D558F4"/>
    <w:rsid w:val="00D569FE"/>
    <w:rsid w:val="00D66A27"/>
    <w:rsid w:val="00DA2E4B"/>
    <w:rsid w:val="00DB2836"/>
    <w:rsid w:val="00DB4DEE"/>
    <w:rsid w:val="00DB7880"/>
    <w:rsid w:val="00DC5C33"/>
    <w:rsid w:val="00DD7BD3"/>
    <w:rsid w:val="00DE3D49"/>
    <w:rsid w:val="00DF0E4A"/>
    <w:rsid w:val="00E0333E"/>
    <w:rsid w:val="00E04880"/>
    <w:rsid w:val="00E16FFA"/>
    <w:rsid w:val="00E37E44"/>
    <w:rsid w:val="00E4095A"/>
    <w:rsid w:val="00E40CDC"/>
    <w:rsid w:val="00E50035"/>
    <w:rsid w:val="00E550A3"/>
    <w:rsid w:val="00E60EBA"/>
    <w:rsid w:val="00E619FA"/>
    <w:rsid w:val="00E66A89"/>
    <w:rsid w:val="00E71011"/>
    <w:rsid w:val="00E85AD0"/>
    <w:rsid w:val="00EA793B"/>
    <w:rsid w:val="00EB54FA"/>
    <w:rsid w:val="00EB5AE7"/>
    <w:rsid w:val="00EB5B77"/>
    <w:rsid w:val="00EC5EFB"/>
    <w:rsid w:val="00EC7489"/>
    <w:rsid w:val="00F07994"/>
    <w:rsid w:val="00F14640"/>
    <w:rsid w:val="00F154FF"/>
    <w:rsid w:val="00F16785"/>
    <w:rsid w:val="00F52BD6"/>
    <w:rsid w:val="00F55BA0"/>
    <w:rsid w:val="00F622CF"/>
    <w:rsid w:val="00F6498B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A1804"/>
    <w:rsid w:val="00FB5977"/>
    <w:rsid w:val="00FB70D8"/>
    <w:rsid w:val="00FC1F2B"/>
    <w:rsid w:val="00FC3E3F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363E5-AEDE-4BFE-B736-1AADBC5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7C22-12B5-42E0-B145-44C551A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1485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Ilona Šamalíková</cp:lastModifiedBy>
  <cp:revision>5</cp:revision>
  <cp:lastPrinted>2017-03-14T06:22:00Z</cp:lastPrinted>
  <dcterms:created xsi:type="dcterms:W3CDTF">2017-03-13T21:53:00Z</dcterms:created>
  <dcterms:modified xsi:type="dcterms:W3CDTF">2017-03-14T06:24:00Z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